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9BE08" w14:textId="2DFBF071" w:rsidR="00F54312" w:rsidRPr="00321C19" w:rsidRDefault="00321C19" w:rsidP="00321C19">
      <w:pPr>
        <w:pStyle w:val="Heading1"/>
        <w:rPr>
          <w:rFonts w:cstheme="majorHAnsi"/>
          <w:b/>
          <w:bCs/>
          <w:sz w:val="28"/>
          <w:szCs w:val="28"/>
        </w:rPr>
      </w:pPr>
      <w:r w:rsidRPr="00321C19">
        <w:rPr>
          <w:rFonts w:cstheme="majorHAnsi"/>
          <w:b/>
          <w:bCs/>
          <w:sz w:val="28"/>
          <w:szCs w:val="28"/>
        </w:rPr>
        <w:t>Supporting Publication</w:t>
      </w:r>
    </w:p>
    <w:p w14:paraId="5D7D7E07" w14:textId="3543DBF8" w:rsidR="00321C19" w:rsidRDefault="00321C19">
      <w:r>
        <w:rPr>
          <w:noProof/>
        </w:rPr>
        <w:drawing>
          <wp:anchor distT="0" distB="0" distL="114300" distR="114300" simplePos="0" relativeHeight="251658240" behindDoc="0" locked="0" layoutInCell="1" allowOverlap="1" wp14:anchorId="6EFC4D0D" wp14:editId="75F2A193">
            <wp:simplePos x="0" y="0"/>
            <wp:positionH relativeFrom="column">
              <wp:posOffset>-44450</wp:posOffset>
            </wp:positionH>
            <wp:positionV relativeFrom="paragraph">
              <wp:posOffset>120650</wp:posOffset>
            </wp:positionV>
            <wp:extent cx="1574800" cy="2099310"/>
            <wp:effectExtent l="0" t="0" r="635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800" cy="2099310"/>
                    </a:xfrm>
                    <a:prstGeom prst="rect">
                      <a:avLst/>
                    </a:prstGeom>
                  </pic:spPr>
                </pic:pic>
              </a:graphicData>
            </a:graphic>
            <wp14:sizeRelH relativeFrom="page">
              <wp14:pctWidth>0</wp14:pctWidth>
            </wp14:sizeRelH>
            <wp14:sizeRelV relativeFrom="page">
              <wp14:pctHeight>0</wp14:pctHeight>
            </wp14:sizeRelV>
          </wp:anchor>
        </w:drawing>
      </w:r>
    </w:p>
    <w:p w14:paraId="40BAEDA6" w14:textId="77777777" w:rsidR="00321C19" w:rsidRPr="00321C19" w:rsidRDefault="00321C19" w:rsidP="00321C19">
      <w:pPr>
        <w:pStyle w:val="NormalWeb"/>
        <w:shd w:val="clear" w:color="auto" w:fill="FFFFFF"/>
        <w:spacing w:before="0" w:beforeAutospacing="0"/>
        <w:rPr>
          <w:rFonts w:asciiTheme="minorHAnsi" w:hAnsiTheme="minorHAnsi" w:cstheme="minorHAnsi"/>
          <w:color w:val="2E2E2E"/>
          <w:sz w:val="22"/>
          <w:szCs w:val="22"/>
        </w:rPr>
      </w:pPr>
      <w:r w:rsidRPr="00321C19">
        <w:rPr>
          <w:rStyle w:val="Emphasis"/>
          <w:rFonts w:asciiTheme="minorHAnsi" w:hAnsiTheme="minorHAnsi" w:cstheme="minorHAnsi"/>
          <w:color w:val="2E2E2E"/>
          <w:sz w:val="22"/>
          <w:szCs w:val="22"/>
        </w:rPr>
        <w:t>Food Control</w:t>
      </w:r>
      <w:r w:rsidRPr="00321C19">
        <w:rPr>
          <w:rFonts w:asciiTheme="minorHAnsi" w:hAnsiTheme="minorHAnsi" w:cstheme="minorHAnsi"/>
          <w:color w:val="2E2E2E"/>
          <w:sz w:val="22"/>
          <w:szCs w:val="22"/>
        </w:rPr>
        <w:t> is an international journal that provides essential information for those involved in food safety and process control.</w:t>
      </w:r>
    </w:p>
    <w:p w14:paraId="5E3BCA73" w14:textId="77777777" w:rsidR="00321C19" w:rsidRPr="00321C19" w:rsidRDefault="00321C19" w:rsidP="00321C19">
      <w:pPr>
        <w:pStyle w:val="NormalWeb"/>
        <w:shd w:val="clear" w:color="auto" w:fill="FFFFFF"/>
        <w:spacing w:before="0" w:beforeAutospacing="0"/>
        <w:rPr>
          <w:rFonts w:asciiTheme="minorHAnsi" w:hAnsiTheme="minorHAnsi" w:cstheme="minorHAnsi"/>
          <w:color w:val="2E2E2E"/>
          <w:sz w:val="22"/>
          <w:szCs w:val="22"/>
        </w:rPr>
      </w:pPr>
      <w:r w:rsidRPr="00321C19">
        <w:rPr>
          <w:rFonts w:asciiTheme="minorHAnsi" w:hAnsiTheme="minorHAnsi" w:cstheme="minorHAnsi"/>
          <w:color w:val="2E2E2E"/>
          <w:sz w:val="22"/>
          <w:szCs w:val="22"/>
        </w:rPr>
        <w:t>Food Control covers the below areas that relate to food process control or to food safety of human foods:</w:t>
      </w:r>
    </w:p>
    <w:p w14:paraId="36D2931E" w14:textId="77777777" w:rsidR="00321C19" w:rsidRPr="00321C19" w:rsidRDefault="00321C19" w:rsidP="00321C19">
      <w:pPr>
        <w:pStyle w:val="NormalWeb"/>
        <w:shd w:val="clear" w:color="auto" w:fill="FFFFFF"/>
        <w:spacing w:before="0" w:beforeAutospacing="0"/>
        <w:rPr>
          <w:rFonts w:asciiTheme="minorHAnsi" w:hAnsiTheme="minorHAnsi" w:cstheme="minorHAnsi"/>
          <w:color w:val="2E2E2E"/>
          <w:sz w:val="22"/>
          <w:szCs w:val="22"/>
        </w:rPr>
      </w:pPr>
      <w:r w:rsidRPr="00321C19">
        <w:rPr>
          <w:rFonts w:asciiTheme="minorHAnsi" w:hAnsiTheme="minorHAnsi" w:cstheme="minorHAnsi"/>
          <w:color w:val="2E2E2E"/>
          <w:sz w:val="22"/>
          <w:szCs w:val="22"/>
        </w:rPr>
        <w:t>• Microbial </w:t>
      </w:r>
      <w:r w:rsidRPr="00321C19">
        <w:rPr>
          <w:rStyle w:val="Strong"/>
          <w:rFonts w:asciiTheme="minorHAnsi" w:hAnsiTheme="minorHAnsi" w:cstheme="minorHAnsi"/>
          <w:color w:val="2E2E2E"/>
          <w:sz w:val="22"/>
          <w:szCs w:val="22"/>
        </w:rPr>
        <w:t>food safety</w:t>
      </w:r>
      <w:r w:rsidRPr="00321C19">
        <w:rPr>
          <w:rFonts w:asciiTheme="minorHAnsi" w:hAnsiTheme="minorHAnsi" w:cstheme="minorHAnsi"/>
          <w:color w:val="2E2E2E"/>
          <w:sz w:val="22"/>
          <w:szCs w:val="22"/>
        </w:rPr>
        <w:t> and </w:t>
      </w:r>
      <w:r w:rsidRPr="00321C19">
        <w:rPr>
          <w:rStyle w:val="Strong"/>
          <w:rFonts w:asciiTheme="minorHAnsi" w:hAnsiTheme="minorHAnsi" w:cstheme="minorHAnsi"/>
          <w:color w:val="2E2E2E"/>
          <w:sz w:val="22"/>
          <w:szCs w:val="22"/>
        </w:rPr>
        <w:t>antimicrobial</w:t>
      </w:r>
      <w:r w:rsidRPr="00321C19">
        <w:rPr>
          <w:rFonts w:asciiTheme="minorHAnsi" w:hAnsiTheme="minorHAnsi" w:cstheme="minorHAnsi"/>
          <w:color w:val="2E2E2E"/>
          <w:sz w:val="22"/>
          <w:szCs w:val="22"/>
        </w:rPr>
        <w:t> systems</w:t>
      </w:r>
      <w:r w:rsidRPr="00321C19">
        <w:rPr>
          <w:rFonts w:asciiTheme="minorHAnsi" w:hAnsiTheme="minorHAnsi" w:cstheme="minorHAnsi"/>
          <w:color w:val="2E2E2E"/>
          <w:sz w:val="22"/>
          <w:szCs w:val="22"/>
        </w:rPr>
        <w:br/>
        <w:t>• </w:t>
      </w:r>
      <w:r w:rsidRPr="00321C19">
        <w:rPr>
          <w:rStyle w:val="Strong"/>
          <w:rFonts w:asciiTheme="minorHAnsi" w:hAnsiTheme="minorHAnsi" w:cstheme="minorHAnsi"/>
          <w:color w:val="2E2E2E"/>
          <w:sz w:val="22"/>
          <w:szCs w:val="22"/>
        </w:rPr>
        <w:t>Mycotoxins</w:t>
      </w:r>
      <w:r w:rsidRPr="00321C19">
        <w:rPr>
          <w:rFonts w:asciiTheme="minorHAnsi" w:hAnsiTheme="minorHAnsi" w:cstheme="minorHAnsi"/>
          <w:color w:val="2E2E2E"/>
          <w:sz w:val="22"/>
          <w:szCs w:val="22"/>
        </w:rPr>
        <w:br/>
        <w:t>• Hazard analysis, </w:t>
      </w:r>
      <w:r w:rsidRPr="00321C19">
        <w:rPr>
          <w:rStyle w:val="Strong"/>
          <w:rFonts w:asciiTheme="minorHAnsi" w:hAnsiTheme="minorHAnsi" w:cstheme="minorHAnsi"/>
          <w:color w:val="2E2E2E"/>
          <w:sz w:val="22"/>
          <w:szCs w:val="22"/>
        </w:rPr>
        <w:t>HACCP</w:t>
      </w:r>
      <w:r w:rsidRPr="00321C19">
        <w:rPr>
          <w:rFonts w:asciiTheme="minorHAnsi" w:hAnsiTheme="minorHAnsi" w:cstheme="minorHAnsi"/>
          <w:color w:val="2E2E2E"/>
          <w:sz w:val="22"/>
          <w:szCs w:val="22"/>
        </w:rPr>
        <w:t> and food safety objectives</w:t>
      </w:r>
      <w:r w:rsidRPr="00321C19">
        <w:rPr>
          <w:rFonts w:asciiTheme="minorHAnsi" w:hAnsiTheme="minorHAnsi" w:cstheme="minorHAnsi"/>
          <w:color w:val="2E2E2E"/>
          <w:sz w:val="22"/>
          <w:szCs w:val="22"/>
        </w:rPr>
        <w:br/>
        <w:t>• </w:t>
      </w:r>
      <w:r w:rsidRPr="00321C19">
        <w:rPr>
          <w:rStyle w:val="Strong"/>
          <w:rFonts w:asciiTheme="minorHAnsi" w:hAnsiTheme="minorHAnsi" w:cstheme="minorHAnsi"/>
          <w:color w:val="2E2E2E"/>
          <w:sz w:val="22"/>
          <w:szCs w:val="22"/>
        </w:rPr>
        <w:t>Risk assessment</w:t>
      </w:r>
      <w:r w:rsidRPr="00321C19">
        <w:rPr>
          <w:rFonts w:asciiTheme="minorHAnsi" w:hAnsiTheme="minorHAnsi" w:cstheme="minorHAnsi"/>
          <w:color w:val="2E2E2E"/>
          <w:sz w:val="22"/>
          <w:szCs w:val="22"/>
        </w:rPr>
        <w:t>, including microbial and chemical hazards</w:t>
      </w:r>
      <w:r w:rsidRPr="00321C19">
        <w:rPr>
          <w:rFonts w:asciiTheme="minorHAnsi" w:hAnsiTheme="minorHAnsi" w:cstheme="minorHAnsi"/>
          <w:color w:val="2E2E2E"/>
          <w:sz w:val="22"/>
          <w:szCs w:val="22"/>
        </w:rPr>
        <w:br/>
        <w:t>• </w:t>
      </w:r>
      <w:r w:rsidRPr="00321C19">
        <w:rPr>
          <w:rStyle w:val="Strong"/>
          <w:rFonts w:asciiTheme="minorHAnsi" w:hAnsiTheme="minorHAnsi" w:cstheme="minorHAnsi"/>
          <w:color w:val="2E2E2E"/>
          <w:sz w:val="22"/>
          <w:szCs w:val="22"/>
        </w:rPr>
        <w:t>Quality assurance</w:t>
      </w:r>
      <w:r w:rsidRPr="00321C19">
        <w:rPr>
          <w:rFonts w:asciiTheme="minorHAnsi" w:hAnsiTheme="minorHAnsi" w:cstheme="minorHAnsi"/>
          <w:color w:val="2E2E2E"/>
          <w:sz w:val="22"/>
          <w:szCs w:val="22"/>
        </w:rPr>
        <w:br/>
        <w:t>• Good </w:t>
      </w:r>
      <w:r w:rsidRPr="00321C19">
        <w:rPr>
          <w:rStyle w:val="Strong"/>
          <w:rFonts w:asciiTheme="minorHAnsi" w:hAnsiTheme="minorHAnsi" w:cstheme="minorHAnsi"/>
          <w:color w:val="2E2E2E"/>
          <w:sz w:val="22"/>
          <w:szCs w:val="22"/>
        </w:rPr>
        <w:t>manufacturing</w:t>
      </w:r>
      <w:r w:rsidRPr="00321C19">
        <w:rPr>
          <w:rFonts w:asciiTheme="minorHAnsi" w:hAnsiTheme="minorHAnsi" w:cstheme="minorHAnsi"/>
          <w:color w:val="2E2E2E"/>
          <w:sz w:val="22"/>
          <w:szCs w:val="22"/>
        </w:rPr>
        <w:t> practices</w:t>
      </w:r>
      <w:r w:rsidRPr="00321C19">
        <w:rPr>
          <w:rFonts w:asciiTheme="minorHAnsi" w:hAnsiTheme="minorHAnsi" w:cstheme="minorHAnsi"/>
          <w:color w:val="2E2E2E"/>
          <w:sz w:val="22"/>
          <w:szCs w:val="22"/>
        </w:rPr>
        <w:br/>
        <w:t>• Food </w:t>
      </w:r>
      <w:r w:rsidRPr="00321C19">
        <w:rPr>
          <w:rStyle w:val="Strong"/>
          <w:rFonts w:asciiTheme="minorHAnsi" w:hAnsiTheme="minorHAnsi" w:cstheme="minorHAnsi"/>
          <w:color w:val="2E2E2E"/>
          <w:sz w:val="22"/>
          <w:szCs w:val="22"/>
        </w:rPr>
        <w:t>process systems</w:t>
      </w:r>
      <w:r w:rsidRPr="00321C19">
        <w:rPr>
          <w:rFonts w:asciiTheme="minorHAnsi" w:hAnsiTheme="minorHAnsi" w:cstheme="minorHAnsi"/>
          <w:color w:val="2E2E2E"/>
          <w:sz w:val="22"/>
          <w:szCs w:val="22"/>
        </w:rPr>
        <w:t> design and control</w:t>
      </w:r>
      <w:r w:rsidRPr="00321C19">
        <w:rPr>
          <w:rFonts w:asciiTheme="minorHAnsi" w:hAnsiTheme="minorHAnsi" w:cstheme="minorHAnsi"/>
          <w:color w:val="2E2E2E"/>
          <w:sz w:val="22"/>
          <w:szCs w:val="22"/>
        </w:rPr>
        <w:br/>
        <w:t>• Food </w:t>
      </w:r>
      <w:r w:rsidRPr="00321C19">
        <w:rPr>
          <w:rStyle w:val="Strong"/>
          <w:rFonts w:asciiTheme="minorHAnsi" w:hAnsiTheme="minorHAnsi" w:cstheme="minorHAnsi"/>
          <w:color w:val="2E2E2E"/>
          <w:sz w:val="22"/>
          <w:szCs w:val="22"/>
        </w:rPr>
        <w:t>Packaging</w:t>
      </w:r>
      <w:r w:rsidRPr="00321C19">
        <w:rPr>
          <w:rFonts w:asciiTheme="minorHAnsi" w:hAnsiTheme="minorHAnsi" w:cstheme="minorHAnsi"/>
          <w:color w:val="2E2E2E"/>
          <w:sz w:val="22"/>
          <w:szCs w:val="22"/>
        </w:rPr>
        <w:t> technology and materials in contact with foods</w:t>
      </w:r>
      <w:r w:rsidRPr="00321C19">
        <w:rPr>
          <w:rFonts w:asciiTheme="minorHAnsi" w:hAnsiTheme="minorHAnsi" w:cstheme="minorHAnsi"/>
          <w:color w:val="2E2E2E"/>
          <w:sz w:val="22"/>
          <w:szCs w:val="22"/>
        </w:rPr>
        <w:br/>
        <w:t>• Rapid methods of </w:t>
      </w:r>
      <w:r w:rsidRPr="00321C19">
        <w:rPr>
          <w:rStyle w:val="Strong"/>
          <w:rFonts w:asciiTheme="minorHAnsi" w:hAnsiTheme="minorHAnsi" w:cstheme="minorHAnsi"/>
          <w:color w:val="2E2E2E"/>
          <w:sz w:val="22"/>
          <w:szCs w:val="22"/>
        </w:rPr>
        <w:t>analysis</w:t>
      </w:r>
      <w:r w:rsidRPr="00321C19">
        <w:rPr>
          <w:rFonts w:asciiTheme="minorHAnsi" w:hAnsiTheme="minorHAnsi" w:cstheme="minorHAnsi"/>
          <w:color w:val="2E2E2E"/>
          <w:sz w:val="22"/>
          <w:szCs w:val="22"/>
        </w:rPr>
        <w:t> and </w:t>
      </w:r>
      <w:r w:rsidRPr="00321C19">
        <w:rPr>
          <w:rStyle w:val="Strong"/>
          <w:rFonts w:asciiTheme="minorHAnsi" w:hAnsiTheme="minorHAnsi" w:cstheme="minorHAnsi"/>
          <w:color w:val="2E2E2E"/>
          <w:sz w:val="22"/>
          <w:szCs w:val="22"/>
        </w:rPr>
        <w:t>detection</w:t>
      </w:r>
      <w:r w:rsidRPr="00321C19">
        <w:rPr>
          <w:rFonts w:asciiTheme="minorHAnsi" w:hAnsiTheme="minorHAnsi" w:cstheme="minorHAnsi"/>
          <w:color w:val="2E2E2E"/>
          <w:sz w:val="22"/>
          <w:szCs w:val="22"/>
        </w:rPr>
        <w:t>, including sensor technology</w:t>
      </w:r>
      <w:r w:rsidRPr="00321C19">
        <w:rPr>
          <w:rFonts w:asciiTheme="minorHAnsi" w:hAnsiTheme="minorHAnsi" w:cstheme="minorHAnsi"/>
          <w:color w:val="2E2E2E"/>
          <w:sz w:val="22"/>
          <w:szCs w:val="22"/>
        </w:rPr>
        <w:br/>
        <w:t>• </w:t>
      </w:r>
      <w:r w:rsidRPr="00321C19">
        <w:rPr>
          <w:rStyle w:val="Strong"/>
          <w:rFonts w:asciiTheme="minorHAnsi" w:hAnsiTheme="minorHAnsi" w:cstheme="minorHAnsi"/>
          <w:color w:val="2E2E2E"/>
          <w:sz w:val="22"/>
          <w:szCs w:val="22"/>
        </w:rPr>
        <w:t>Codes</w:t>
      </w:r>
      <w:r w:rsidRPr="00321C19">
        <w:rPr>
          <w:rFonts w:asciiTheme="minorHAnsi" w:hAnsiTheme="minorHAnsi" w:cstheme="minorHAnsi"/>
          <w:color w:val="2E2E2E"/>
          <w:sz w:val="22"/>
          <w:szCs w:val="22"/>
        </w:rPr>
        <w:t> of practice, </w:t>
      </w:r>
      <w:r w:rsidRPr="00321C19">
        <w:rPr>
          <w:rStyle w:val="Strong"/>
          <w:rFonts w:asciiTheme="minorHAnsi" w:hAnsiTheme="minorHAnsi" w:cstheme="minorHAnsi"/>
          <w:color w:val="2E2E2E"/>
          <w:sz w:val="22"/>
          <w:szCs w:val="22"/>
        </w:rPr>
        <w:t>legislation</w:t>
      </w:r>
      <w:r w:rsidRPr="00321C19">
        <w:rPr>
          <w:rFonts w:asciiTheme="minorHAnsi" w:hAnsiTheme="minorHAnsi" w:cstheme="minorHAnsi"/>
          <w:color w:val="2E2E2E"/>
          <w:sz w:val="22"/>
          <w:szCs w:val="22"/>
        </w:rPr>
        <w:t> and international </w:t>
      </w:r>
      <w:r w:rsidRPr="00321C19">
        <w:rPr>
          <w:rStyle w:val="Strong"/>
          <w:rFonts w:asciiTheme="minorHAnsi" w:hAnsiTheme="minorHAnsi" w:cstheme="minorHAnsi"/>
          <w:color w:val="2E2E2E"/>
          <w:sz w:val="22"/>
          <w:szCs w:val="22"/>
        </w:rPr>
        <w:t>harmonization</w:t>
      </w:r>
      <w:r w:rsidRPr="00321C19">
        <w:rPr>
          <w:rFonts w:asciiTheme="minorHAnsi" w:hAnsiTheme="minorHAnsi" w:cstheme="minorHAnsi"/>
          <w:color w:val="2E2E2E"/>
          <w:sz w:val="22"/>
          <w:szCs w:val="22"/>
        </w:rPr>
        <w:br/>
        <w:t>• Consumer issues</w:t>
      </w:r>
      <w:r w:rsidRPr="00321C19">
        <w:rPr>
          <w:rFonts w:asciiTheme="minorHAnsi" w:hAnsiTheme="minorHAnsi" w:cstheme="minorHAnsi"/>
          <w:color w:val="2E2E2E"/>
          <w:sz w:val="22"/>
          <w:szCs w:val="22"/>
        </w:rPr>
        <w:br/>
        <w:t>• </w:t>
      </w:r>
      <w:r w:rsidRPr="00321C19">
        <w:rPr>
          <w:rStyle w:val="Strong"/>
          <w:rFonts w:asciiTheme="minorHAnsi" w:hAnsiTheme="minorHAnsi" w:cstheme="minorHAnsi"/>
          <w:color w:val="2E2E2E"/>
          <w:sz w:val="22"/>
          <w:szCs w:val="22"/>
        </w:rPr>
        <w:t>Education</w:t>
      </w:r>
      <w:r w:rsidRPr="00321C19">
        <w:rPr>
          <w:rFonts w:asciiTheme="minorHAnsi" w:hAnsiTheme="minorHAnsi" w:cstheme="minorHAnsi"/>
          <w:color w:val="2E2E2E"/>
          <w:sz w:val="22"/>
          <w:szCs w:val="22"/>
        </w:rPr>
        <w:t>, training and research needs.</w:t>
      </w:r>
    </w:p>
    <w:p w14:paraId="4762AA9C" w14:textId="77777777" w:rsidR="00321C19" w:rsidRPr="00321C19" w:rsidRDefault="00321C19" w:rsidP="00321C19">
      <w:pPr>
        <w:pStyle w:val="NormalWeb"/>
        <w:shd w:val="clear" w:color="auto" w:fill="FFFFFF"/>
        <w:spacing w:before="0" w:beforeAutospacing="0"/>
        <w:rPr>
          <w:rFonts w:asciiTheme="minorHAnsi" w:hAnsiTheme="minorHAnsi" w:cstheme="minorHAnsi"/>
          <w:color w:val="2E2E2E"/>
          <w:sz w:val="22"/>
          <w:szCs w:val="22"/>
        </w:rPr>
      </w:pPr>
      <w:r w:rsidRPr="00321C19">
        <w:rPr>
          <w:rFonts w:asciiTheme="minorHAnsi" w:hAnsiTheme="minorHAnsi" w:cstheme="minorHAnsi"/>
          <w:color w:val="2E2E2E"/>
          <w:sz w:val="22"/>
          <w:szCs w:val="22"/>
        </w:rPr>
        <w:t>The scope of </w:t>
      </w:r>
      <w:r w:rsidRPr="00321C19">
        <w:rPr>
          <w:rStyle w:val="Emphasis"/>
          <w:rFonts w:asciiTheme="minorHAnsi" w:hAnsiTheme="minorHAnsi" w:cstheme="minorHAnsi"/>
          <w:color w:val="2E2E2E"/>
          <w:sz w:val="22"/>
          <w:szCs w:val="22"/>
        </w:rPr>
        <w:t>Food Control</w:t>
      </w:r>
      <w:r w:rsidRPr="00321C19">
        <w:rPr>
          <w:rFonts w:asciiTheme="minorHAnsi" w:hAnsiTheme="minorHAnsi" w:cstheme="minorHAnsi"/>
          <w:color w:val="2E2E2E"/>
          <w:sz w:val="22"/>
          <w:szCs w:val="22"/>
        </w:rPr>
        <w:t> is comprehensive and includes original research papers, authoritative reviews, short communications, comment articles that report on new developments in food control, and position papers.</w:t>
      </w:r>
    </w:p>
    <w:p w14:paraId="2F37EBCE" w14:textId="77777777" w:rsidR="00321C19" w:rsidRPr="00321C19" w:rsidRDefault="00321C19" w:rsidP="00321C19">
      <w:pPr>
        <w:pStyle w:val="NormalWeb"/>
        <w:shd w:val="clear" w:color="auto" w:fill="FFFFFF"/>
        <w:spacing w:before="0" w:beforeAutospacing="0"/>
        <w:rPr>
          <w:rFonts w:asciiTheme="minorHAnsi" w:hAnsiTheme="minorHAnsi" w:cstheme="minorHAnsi"/>
          <w:color w:val="2E2E2E"/>
          <w:sz w:val="22"/>
          <w:szCs w:val="22"/>
        </w:rPr>
      </w:pPr>
      <w:r w:rsidRPr="00321C19">
        <w:rPr>
          <w:rFonts w:asciiTheme="minorHAnsi" w:hAnsiTheme="minorHAnsi" w:cstheme="minorHAnsi"/>
          <w:color w:val="2E2E2E"/>
          <w:sz w:val="22"/>
          <w:szCs w:val="22"/>
        </w:rPr>
        <w:t>The work described should be innovative either in the approach or in the methods used. The significance of the results either for the science community or for the food industry must also be specified. Contributions that do not fulfil these requirements will not be considered for review and publication.</w:t>
      </w:r>
    </w:p>
    <w:p w14:paraId="51C20FCF" w14:textId="0548F517" w:rsidR="00321C19" w:rsidRPr="00321C19" w:rsidRDefault="00321C19" w:rsidP="00321C19">
      <w:pPr>
        <w:spacing w:after="0" w:line="411" w:lineRule="atLeast"/>
        <w:textAlignment w:val="baseline"/>
        <w:rPr>
          <w:rFonts w:eastAsia="Times New Roman" w:cstheme="minorHAnsi"/>
          <w:color w:val="2E2E2E"/>
        </w:rPr>
      </w:pPr>
      <w:r w:rsidRPr="00321C19">
        <w:rPr>
          <w:rFonts w:eastAsia="Times New Roman" w:cstheme="minorHAnsi"/>
          <w:color w:val="2E2E2E"/>
        </w:rPr>
        <w:t>For more information please visit: </w:t>
      </w:r>
      <w:hyperlink r:id="rId9" w:history="1">
        <w:r w:rsidRPr="00647E90">
          <w:rPr>
            <w:rStyle w:val="Hyperlink"/>
            <w:rFonts w:eastAsia="Times New Roman" w:cstheme="minorHAnsi"/>
          </w:rPr>
          <w:t>https://www.journals.elsevier.com/food-control</w:t>
        </w:r>
      </w:hyperlink>
      <w:r>
        <w:rPr>
          <w:rFonts w:eastAsia="Times New Roman" w:cstheme="minorHAnsi"/>
          <w:color w:val="2E2E2E"/>
        </w:rPr>
        <w:t xml:space="preserve">  </w:t>
      </w:r>
    </w:p>
    <w:p w14:paraId="272C9CEA" w14:textId="77777777" w:rsidR="00321C19" w:rsidRDefault="00321C19" w:rsidP="00321C19">
      <w:pPr>
        <w:spacing w:after="0" w:line="411" w:lineRule="atLeast"/>
        <w:textAlignment w:val="baseline"/>
        <w:rPr>
          <w:rFonts w:ascii="Arial" w:eastAsia="Times New Roman" w:hAnsi="Arial" w:cs="Arial"/>
          <w:color w:val="666666"/>
          <w:sz w:val="21"/>
          <w:szCs w:val="21"/>
        </w:rPr>
      </w:pPr>
    </w:p>
    <w:p w14:paraId="14C3020F" w14:textId="5AA6E210" w:rsidR="00321C19" w:rsidRDefault="00321C19" w:rsidP="00321C19">
      <w:pPr>
        <w:spacing w:after="100" w:afterAutospacing="1" w:line="240" w:lineRule="auto"/>
        <w:textAlignment w:val="baseline"/>
        <w:rPr>
          <w:rFonts w:eastAsia="Times New Roman" w:cstheme="minorHAnsi"/>
          <w:b/>
          <w:bCs/>
          <w:bdr w:val="none" w:sz="0" w:space="0" w:color="auto" w:frame="1"/>
        </w:rPr>
      </w:pPr>
      <w:r w:rsidRPr="00321C19">
        <w:rPr>
          <w:rStyle w:val="Heading1Char"/>
          <w:b/>
          <w:bCs/>
          <w:sz w:val="24"/>
          <w:szCs w:val="24"/>
        </w:rPr>
        <w:t>Call for papers</w:t>
      </w:r>
      <w:r w:rsidRPr="00321C19">
        <w:rPr>
          <w:rStyle w:val="Heading1Char"/>
          <w:b/>
          <w:bCs/>
          <w:sz w:val="24"/>
          <w:szCs w:val="24"/>
        </w:rPr>
        <w:br/>
      </w:r>
      <w:r w:rsidRPr="00321C19">
        <w:rPr>
          <w:rFonts w:eastAsia="Times New Roman" w:cstheme="minorHAnsi"/>
          <w:b/>
          <w:bCs/>
          <w:bdr w:val="none" w:sz="0" w:space="0" w:color="auto" w:frame="1"/>
        </w:rPr>
        <w:t xml:space="preserve">Special Issue from the </w:t>
      </w:r>
      <w:proofErr w:type="spellStart"/>
      <w:r w:rsidRPr="00321C19">
        <w:rPr>
          <w:rFonts w:eastAsia="Times New Roman" w:cstheme="minorHAnsi"/>
          <w:b/>
          <w:bCs/>
          <w:bdr w:val="none" w:sz="0" w:space="0" w:color="auto" w:frame="1"/>
        </w:rPr>
        <w:t>EuroResidue</w:t>
      </w:r>
      <w:proofErr w:type="spellEnd"/>
      <w:r w:rsidRPr="00321C19">
        <w:rPr>
          <w:rFonts w:eastAsia="Times New Roman" w:cstheme="minorHAnsi"/>
          <w:b/>
          <w:bCs/>
          <w:bdr w:val="none" w:sz="0" w:space="0" w:color="auto" w:frame="1"/>
        </w:rPr>
        <w:t xml:space="preserve"> IX conference</w:t>
      </w:r>
    </w:p>
    <w:p w14:paraId="1832C44E" w14:textId="1BCE9E33" w:rsidR="00321C19" w:rsidRPr="00321C19" w:rsidRDefault="00321C19" w:rsidP="00321C19">
      <w:pPr>
        <w:spacing w:after="100" w:afterAutospacing="1" w:line="240" w:lineRule="auto"/>
        <w:textAlignment w:val="baseline"/>
        <w:rPr>
          <w:rFonts w:eastAsia="Times New Roman" w:cstheme="minorHAnsi"/>
        </w:rPr>
      </w:pPr>
      <w:r w:rsidRPr="00321C19">
        <w:rPr>
          <w:rStyle w:val="Emphasis"/>
          <w:rFonts w:cstheme="minorHAnsi"/>
        </w:rPr>
        <w:t>Food Control</w:t>
      </w:r>
      <w:r w:rsidRPr="00321C19">
        <w:rPr>
          <w:rFonts w:cstheme="minorHAnsi"/>
        </w:rPr>
        <w:t> </w:t>
      </w:r>
      <w:r w:rsidRPr="00321C19">
        <w:rPr>
          <w:rFonts w:eastAsia="Times New Roman" w:cstheme="minorHAnsi"/>
        </w:rPr>
        <w:t xml:space="preserve">is inviting all oral and poster presenters at the </w:t>
      </w:r>
      <w:proofErr w:type="spellStart"/>
      <w:r w:rsidRPr="00321C19">
        <w:rPr>
          <w:rFonts w:eastAsia="Times New Roman" w:cstheme="minorHAnsi"/>
          <w:b/>
          <w:bCs/>
          <w:bdr w:val="none" w:sz="0" w:space="0" w:color="auto" w:frame="1"/>
        </w:rPr>
        <w:t>EuroResidue</w:t>
      </w:r>
      <w:proofErr w:type="spellEnd"/>
      <w:r w:rsidRPr="00321C19">
        <w:rPr>
          <w:rFonts w:eastAsia="Times New Roman" w:cstheme="minorHAnsi"/>
          <w:b/>
          <w:bCs/>
          <w:bdr w:val="none" w:sz="0" w:space="0" w:color="auto" w:frame="1"/>
        </w:rPr>
        <w:t xml:space="preserve"> IX </w:t>
      </w:r>
      <w:r w:rsidRPr="00321C19">
        <w:rPr>
          <w:rFonts w:eastAsia="Times New Roman" w:cstheme="minorHAnsi"/>
        </w:rPr>
        <w:t>Conference to submit papers on their presented work to the Special Issue of the journal.  </w:t>
      </w:r>
    </w:p>
    <w:p w14:paraId="6EA1A96B" w14:textId="77777777" w:rsidR="00321C19" w:rsidRPr="00321C19" w:rsidRDefault="00321C19" w:rsidP="00321C19">
      <w:pPr>
        <w:spacing w:after="100" w:afterAutospacing="1" w:line="240" w:lineRule="auto"/>
        <w:textAlignment w:val="baseline"/>
        <w:rPr>
          <w:rFonts w:eastAsia="Times New Roman" w:cstheme="minorHAnsi"/>
        </w:rPr>
      </w:pPr>
      <w:r w:rsidRPr="00321C19">
        <w:rPr>
          <w:rFonts w:eastAsia="Times New Roman" w:cstheme="minorHAnsi"/>
        </w:rPr>
        <w:t>Submissions for this Special Issue can be in the form of original research papers, review articles, and short communications. All submitted papers will be subjected to the same screening and peer-review process as regularly submitted papers.  </w:t>
      </w:r>
    </w:p>
    <w:p w14:paraId="4AED59D8" w14:textId="00BEC0E9" w:rsidR="00321C19" w:rsidRPr="00321C19" w:rsidRDefault="00321C19" w:rsidP="00321C19">
      <w:pPr>
        <w:spacing w:after="100" w:afterAutospacing="1" w:line="240" w:lineRule="auto"/>
        <w:textAlignment w:val="baseline"/>
        <w:rPr>
          <w:rFonts w:eastAsia="Times New Roman" w:cstheme="minorHAnsi"/>
        </w:rPr>
      </w:pPr>
      <w:r w:rsidRPr="00321C19">
        <w:rPr>
          <w:rFonts w:eastAsia="Times New Roman" w:cstheme="minorHAnsi"/>
        </w:rPr>
        <w:t>The Journal's Guide for Authors on how to prepare a paper is available at </w:t>
      </w:r>
      <w:hyperlink r:id="rId10" w:history="1">
        <w:r w:rsidRPr="00647E90">
          <w:rPr>
            <w:rStyle w:val="Hyperlink"/>
            <w:rFonts w:eastAsia="Times New Roman" w:cstheme="minorHAnsi"/>
          </w:rPr>
          <w:t>https://www.elsevier.com/journals/food-control/0956-7135/guide-for-authors</w:t>
        </w:r>
      </w:hyperlink>
      <w:r w:rsidRPr="00321C19">
        <w:rPr>
          <w:rFonts w:eastAsia="Times New Roman" w:cstheme="minorHAnsi"/>
        </w:rPr>
        <w:t xml:space="preserve">. Papers must be </w:t>
      </w:r>
      <w:r w:rsidRPr="00321C19">
        <w:rPr>
          <w:rFonts w:eastAsia="Times New Roman" w:cstheme="minorHAnsi"/>
        </w:rPr>
        <w:lastRenderedPageBreak/>
        <w:t>submitted electronically via the Editorial Manager System (EM) site for the Journal at </w:t>
      </w:r>
      <w:hyperlink r:id="rId11" w:history="1">
        <w:r w:rsidRPr="00647E90">
          <w:rPr>
            <w:rStyle w:val="Hyperlink"/>
            <w:rFonts w:eastAsia="Times New Roman" w:cstheme="minorHAnsi"/>
          </w:rPr>
          <w:t>https://www.editorialmanager.com/foodcont/default.aspx</w:t>
        </w:r>
      </w:hyperlink>
      <w:r>
        <w:rPr>
          <w:rFonts w:eastAsia="Times New Roman" w:cstheme="minorHAnsi"/>
        </w:rPr>
        <w:t>.</w:t>
      </w:r>
      <w:r w:rsidRPr="00321C19">
        <w:rPr>
          <w:rFonts w:eastAsia="Times New Roman" w:cstheme="minorHAnsi"/>
        </w:rPr>
        <w:t xml:space="preserve">  </w:t>
      </w:r>
    </w:p>
    <w:p w14:paraId="0E9C8392" w14:textId="54DD6D57" w:rsidR="00321C19" w:rsidRPr="00321C19" w:rsidRDefault="00321C19" w:rsidP="00321C19">
      <w:pPr>
        <w:spacing w:after="100" w:afterAutospacing="1" w:line="240" w:lineRule="auto"/>
        <w:textAlignment w:val="baseline"/>
        <w:rPr>
          <w:rFonts w:eastAsia="Times New Roman" w:cstheme="minorHAnsi"/>
        </w:rPr>
      </w:pPr>
      <w:r w:rsidRPr="00321C19">
        <w:rPr>
          <w:rFonts w:eastAsia="Times New Roman" w:cstheme="minorHAnsi"/>
        </w:rPr>
        <w:t>The submission portal will open on </w:t>
      </w:r>
      <w:r w:rsidRPr="00321C19">
        <w:rPr>
          <w:rFonts w:eastAsia="Times New Roman" w:cstheme="minorHAnsi"/>
          <w:b/>
          <w:bCs/>
        </w:rPr>
        <w:t>May 23, 2022</w:t>
      </w:r>
      <w:r w:rsidRPr="00321C19">
        <w:rPr>
          <w:rFonts w:eastAsia="Times New Roman" w:cstheme="minorHAnsi"/>
        </w:rPr>
        <w:t xml:space="preserve"> and will close on </w:t>
      </w:r>
      <w:r w:rsidRPr="00321C19">
        <w:rPr>
          <w:rFonts w:eastAsia="Times New Roman" w:cstheme="minorHAnsi"/>
          <w:b/>
          <w:bCs/>
        </w:rPr>
        <w:t>September 1, 2022</w:t>
      </w:r>
      <w:r w:rsidRPr="00321C19">
        <w:rPr>
          <w:rFonts w:eastAsia="Times New Roman" w:cstheme="minorHAnsi"/>
        </w:rPr>
        <w:t>. After this date, the portal will be closed.</w:t>
      </w:r>
    </w:p>
    <w:p w14:paraId="2570322F" w14:textId="2A302A29" w:rsidR="00321C19" w:rsidRPr="00321C19" w:rsidRDefault="00321C19" w:rsidP="00321C19">
      <w:pPr>
        <w:spacing w:after="100" w:afterAutospacing="1" w:line="240" w:lineRule="auto"/>
        <w:textAlignment w:val="baseline"/>
        <w:rPr>
          <w:rFonts w:eastAsia="Times New Roman" w:cstheme="minorHAnsi"/>
        </w:rPr>
      </w:pPr>
      <w:r w:rsidRPr="00321C19">
        <w:rPr>
          <w:rFonts w:eastAsia="Times New Roman" w:cstheme="minorHAnsi"/>
        </w:rPr>
        <w:t>To ensure that all manuscripts are correctly identified for inclusion into the special issue, it is important to select "</w:t>
      </w:r>
      <w:r w:rsidRPr="00321C19">
        <w:t xml:space="preserve"> </w:t>
      </w:r>
      <w:r w:rsidRPr="00321C19">
        <w:rPr>
          <w:rFonts w:eastAsia="Times New Roman" w:cstheme="minorHAnsi"/>
          <w:b/>
          <w:bCs/>
        </w:rPr>
        <w:t>VSI: ER IX - Vet Drug Residue</w:t>
      </w:r>
      <w:r w:rsidRPr="00321C19">
        <w:rPr>
          <w:rFonts w:eastAsia="Times New Roman" w:cstheme="minorHAnsi"/>
        </w:rPr>
        <w:t>" when you reach the "Article Type" step in the submission process. </w:t>
      </w:r>
    </w:p>
    <w:p w14:paraId="74C30BB9" w14:textId="77777777" w:rsidR="00321C19" w:rsidRPr="00321C19" w:rsidRDefault="00321C19" w:rsidP="00321C19">
      <w:pPr>
        <w:spacing w:after="0" w:line="240" w:lineRule="auto"/>
        <w:textAlignment w:val="baseline"/>
        <w:rPr>
          <w:rFonts w:eastAsia="Times New Roman" w:cstheme="minorHAnsi"/>
        </w:rPr>
      </w:pPr>
      <w:r w:rsidRPr="00321C19">
        <w:rPr>
          <w:rFonts w:eastAsia="Times New Roman" w:cstheme="minorHAnsi"/>
        </w:rPr>
        <w:t>Guest Editors: </w:t>
      </w:r>
    </w:p>
    <w:p w14:paraId="62C646BD" w14:textId="77777777" w:rsidR="00321C19" w:rsidRPr="00321C19" w:rsidRDefault="00321C19" w:rsidP="00321C19">
      <w:pPr>
        <w:spacing w:after="0" w:line="240" w:lineRule="auto"/>
        <w:textAlignment w:val="baseline"/>
        <w:rPr>
          <w:rFonts w:eastAsia="Times New Roman" w:cstheme="minorHAnsi"/>
        </w:rPr>
      </w:pPr>
      <w:r w:rsidRPr="00321C19">
        <w:rPr>
          <w:rFonts w:eastAsia="Times New Roman" w:cstheme="minorHAnsi"/>
        </w:rPr>
        <w:t xml:space="preserve">Prof. Bruno Le </w:t>
      </w:r>
      <w:proofErr w:type="spellStart"/>
      <w:r w:rsidRPr="00321C19">
        <w:rPr>
          <w:rFonts w:eastAsia="Times New Roman" w:cstheme="minorHAnsi"/>
        </w:rPr>
        <w:t>Bizec</w:t>
      </w:r>
      <w:proofErr w:type="spellEnd"/>
    </w:p>
    <w:p w14:paraId="108BF503" w14:textId="7E400AF3" w:rsidR="00321C19" w:rsidRPr="00321C19" w:rsidRDefault="00321C19" w:rsidP="00321C19">
      <w:pPr>
        <w:spacing w:after="0" w:line="240" w:lineRule="auto"/>
        <w:textAlignment w:val="baseline"/>
        <w:rPr>
          <w:rFonts w:eastAsia="Times New Roman" w:cstheme="minorHAnsi"/>
        </w:rPr>
      </w:pPr>
      <w:r w:rsidRPr="00321C19">
        <w:rPr>
          <w:rFonts w:eastAsia="Times New Roman" w:cstheme="minorHAnsi"/>
        </w:rPr>
        <w:t xml:space="preserve">Dr. </w:t>
      </w:r>
      <w:proofErr w:type="spellStart"/>
      <w:r w:rsidRPr="00321C19">
        <w:rPr>
          <w:rFonts w:eastAsia="Times New Roman" w:cstheme="minorHAnsi"/>
        </w:rPr>
        <w:t>Aldert</w:t>
      </w:r>
      <w:proofErr w:type="spellEnd"/>
      <w:r w:rsidRPr="00321C19">
        <w:rPr>
          <w:rFonts w:eastAsia="Times New Roman" w:cstheme="minorHAnsi"/>
        </w:rPr>
        <w:t xml:space="preserve"> </w:t>
      </w:r>
      <w:proofErr w:type="spellStart"/>
      <w:r w:rsidRPr="00321C19">
        <w:rPr>
          <w:rFonts w:eastAsia="Times New Roman" w:cstheme="minorHAnsi"/>
        </w:rPr>
        <w:t>Bergwerff</w:t>
      </w:r>
      <w:proofErr w:type="spellEnd"/>
    </w:p>
    <w:p w14:paraId="64433A72" w14:textId="2E11048B" w:rsidR="00321C19" w:rsidRPr="00321C19" w:rsidRDefault="00321C19" w:rsidP="00321C19">
      <w:pPr>
        <w:spacing w:after="0" w:line="240" w:lineRule="auto"/>
        <w:textAlignment w:val="baseline"/>
        <w:rPr>
          <w:rFonts w:eastAsia="Times New Roman" w:cstheme="minorHAnsi"/>
        </w:rPr>
      </w:pPr>
      <w:r w:rsidRPr="00321C19">
        <w:rPr>
          <w:rFonts w:eastAsia="Times New Roman" w:cstheme="minorHAnsi"/>
        </w:rPr>
        <w:t>Dr. Saskia Sterk</w:t>
      </w:r>
    </w:p>
    <w:p w14:paraId="087D7505" w14:textId="77777777" w:rsidR="00321C19" w:rsidRDefault="00321C19" w:rsidP="00321C19">
      <w:pPr>
        <w:spacing w:after="100" w:afterAutospacing="1" w:line="240" w:lineRule="auto"/>
        <w:textAlignment w:val="baseline"/>
        <w:rPr>
          <w:rFonts w:eastAsia="Times New Roman" w:cstheme="minorHAnsi"/>
        </w:rPr>
      </w:pPr>
      <w:r w:rsidRPr="00321C19">
        <w:rPr>
          <w:rFonts w:eastAsia="Times New Roman" w:cstheme="minorHAnsi"/>
        </w:rPr>
        <w:t>Dr. Leendert Van Ginkel</w:t>
      </w:r>
    </w:p>
    <w:p w14:paraId="0A131152" w14:textId="36E0B080" w:rsidR="00321C19" w:rsidRPr="00321C19" w:rsidRDefault="00321C19" w:rsidP="00321C19">
      <w:pPr>
        <w:spacing w:after="100" w:afterAutospacing="1" w:line="240" w:lineRule="auto"/>
        <w:textAlignment w:val="baseline"/>
        <w:rPr>
          <w:rFonts w:eastAsia="Times New Roman" w:cstheme="minorHAnsi"/>
          <w:color w:val="666666"/>
        </w:rPr>
      </w:pPr>
      <w:r w:rsidRPr="00321C19">
        <w:rPr>
          <w:rFonts w:eastAsia="Times New Roman" w:cstheme="minorHAnsi"/>
        </w:rPr>
        <w:t>Any inquiries regarding the content of papers should be submitted to:  </w:t>
      </w:r>
      <w:r w:rsidRPr="009B736C">
        <w:rPr>
          <w:rFonts w:eastAsia="Times New Roman" w:cstheme="minorHAnsi"/>
        </w:rPr>
        <w:t xml:space="preserve">Prof. Bruno Le </w:t>
      </w:r>
      <w:proofErr w:type="spellStart"/>
      <w:r w:rsidRPr="009B736C">
        <w:rPr>
          <w:rFonts w:eastAsia="Times New Roman" w:cstheme="minorHAnsi"/>
        </w:rPr>
        <w:t>Bizec</w:t>
      </w:r>
      <w:proofErr w:type="spellEnd"/>
      <w:r w:rsidRPr="009B736C">
        <w:rPr>
          <w:rFonts w:eastAsia="Times New Roman" w:cstheme="minorHAnsi"/>
        </w:rPr>
        <w:t xml:space="preserve"> </w:t>
      </w:r>
      <w:r w:rsidRPr="00321C19">
        <w:rPr>
          <w:rFonts w:cstheme="minorHAnsi"/>
        </w:rPr>
        <w:t>bruno.lebizec@oniris-nantes.fr</w:t>
      </w:r>
    </w:p>
    <w:p w14:paraId="7730EC5C" w14:textId="3A7795C4" w:rsidR="00321C19" w:rsidRPr="00321C19" w:rsidRDefault="00321C19">
      <w:pPr>
        <w:rPr>
          <w:rFonts w:cstheme="minorHAnsi"/>
        </w:rPr>
      </w:pPr>
      <w:r w:rsidRPr="00321C19">
        <w:rPr>
          <w:rFonts w:cstheme="minorHAnsi"/>
        </w:rPr>
        <w:t xml:space="preserve"> </w:t>
      </w:r>
    </w:p>
    <w:sectPr w:rsidR="00321C19" w:rsidRPr="00321C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14178" w14:textId="77777777" w:rsidR="009B736C" w:rsidRDefault="009B736C" w:rsidP="009B736C">
      <w:pPr>
        <w:spacing w:after="0" w:line="240" w:lineRule="auto"/>
      </w:pPr>
      <w:r>
        <w:separator/>
      </w:r>
    </w:p>
  </w:endnote>
  <w:endnote w:type="continuationSeparator" w:id="0">
    <w:p w14:paraId="552C6D55" w14:textId="77777777" w:rsidR="009B736C" w:rsidRDefault="009B736C" w:rsidP="009B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0AEB0" w14:textId="77777777" w:rsidR="009B736C" w:rsidRDefault="009B736C" w:rsidP="009B736C">
      <w:pPr>
        <w:spacing w:after="0" w:line="240" w:lineRule="auto"/>
      </w:pPr>
      <w:r>
        <w:separator/>
      </w:r>
    </w:p>
  </w:footnote>
  <w:footnote w:type="continuationSeparator" w:id="0">
    <w:p w14:paraId="3CD94D66" w14:textId="77777777" w:rsidR="009B736C" w:rsidRDefault="009B736C" w:rsidP="009B7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A21F7"/>
    <w:multiLevelType w:val="multilevel"/>
    <w:tmpl w:val="5182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19"/>
    <w:rsid w:val="00134B1C"/>
    <w:rsid w:val="00321C19"/>
    <w:rsid w:val="009B736C"/>
    <w:rsid w:val="009C42D9"/>
    <w:rsid w:val="00F8793E"/>
    <w:rsid w:val="00FE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D0EA9"/>
  <w15:chartTrackingRefBased/>
  <w15:docId w15:val="{126B5135-8DC8-4B39-B698-E9F75039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C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C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1C19"/>
    <w:rPr>
      <w:i/>
      <w:iCs/>
    </w:rPr>
  </w:style>
  <w:style w:type="character" w:customStyle="1" w:styleId="bold">
    <w:name w:val="bold"/>
    <w:basedOn w:val="DefaultParagraphFont"/>
    <w:rsid w:val="00321C19"/>
  </w:style>
  <w:style w:type="character" w:styleId="Hyperlink">
    <w:name w:val="Hyperlink"/>
    <w:basedOn w:val="DefaultParagraphFont"/>
    <w:uiPriority w:val="99"/>
    <w:unhideWhenUsed/>
    <w:rsid w:val="00321C19"/>
    <w:rPr>
      <w:color w:val="0000FF"/>
      <w:u w:val="single"/>
    </w:rPr>
  </w:style>
  <w:style w:type="character" w:styleId="Strong">
    <w:name w:val="Strong"/>
    <w:basedOn w:val="DefaultParagraphFont"/>
    <w:uiPriority w:val="22"/>
    <w:qFormat/>
    <w:rsid w:val="00321C19"/>
    <w:rPr>
      <w:b/>
      <w:bCs/>
    </w:rPr>
  </w:style>
  <w:style w:type="character" w:styleId="UnresolvedMention">
    <w:name w:val="Unresolved Mention"/>
    <w:basedOn w:val="DefaultParagraphFont"/>
    <w:uiPriority w:val="99"/>
    <w:semiHidden/>
    <w:unhideWhenUsed/>
    <w:rsid w:val="00321C19"/>
    <w:rPr>
      <w:color w:val="605E5C"/>
      <w:shd w:val="clear" w:color="auto" w:fill="E1DFDD"/>
    </w:rPr>
  </w:style>
  <w:style w:type="character" w:customStyle="1" w:styleId="Heading1Char">
    <w:name w:val="Heading 1 Char"/>
    <w:basedOn w:val="DefaultParagraphFont"/>
    <w:link w:val="Heading1"/>
    <w:uiPriority w:val="9"/>
    <w:rsid w:val="00321C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050989">
      <w:bodyDiv w:val="1"/>
      <w:marLeft w:val="0"/>
      <w:marRight w:val="0"/>
      <w:marTop w:val="0"/>
      <w:marBottom w:val="0"/>
      <w:divBdr>
        <w:top w:val="none" w:sz="0" w:space="0" w:color="auto"/>
        <w:left w:val="none" w:sz="0" w:space="0" w:color="auto"/>
        <w:bottom w:val="none" w:sz="0" w:space="0" w:color="auto"/>
        <w:right w:val="none" w:sz="0" w:space="0" w:color="auto"/>
      </w:divBdr>
    </w:div>
    <w:div w:id="467237341">
      <w:bodyDiv w:val="1"/>
      <w:marLeft w:val="0"/>
      <w:marRight w:val="0"/>
      <w:marTop w:val="0"/>
      <w:marBottom w:val="0"/>
      <w:divBdr>
        <w:top w:val="none" w:sz="0" w:space="0" w:color="auto"/>
        <w:left w:val="none" w:sz="0" w:space="0" w:color="auto"/>
        <w:bottom w:val="none" w:sz="0" w:space="0" w:color="auto"/>
        <w:right w:val="none" w:sz="0" w:space="0" w:color="auto"/>
      </w:divBdr>
    </w:div>
    <w:div w:id="6403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torialmanager.com/foodcont/default.aspx" TargetMode="External"/><Relationship Id="rId5" Type="http://schemas.openxmlformats.org/officeDocument/2006/relationships/webSettings" Target="webSettings.xml"/><Relationship Id="rId10" Type="http://schemas.openxmlformats.org/officeDocument/2006/relationships/hyperlink" Target="https://www.elsevier.com/journals/food-control/0956-7135/guide-for-authors" TargetMode="External"/><Relationship Id="rId4" Type="http://schemas.openxmlformats.org/officeDocument/2006/relationships/settings" Target="settings.xml"/><Relationship Id="rId9" Type="http://schemas.openxmlformats.org/officeDocument/2006/relationships/hyperlink" Target="https://www.journals.elsevier.com/food-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AB14-1BD3-471E-A800-EEE3A0EE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Lisa (ELS-BEI)</dc:creator>
  <cp:keywords/>
  <dc:description/>
  <cp:lastModifiedBy>Sterk, Saskia</cp:lastModifiedBy>
  <cp:revision>2</cp:revision>
  <dcterms:created xsi:type="dcterms:W3CDTF">2022-02-27T13:12:00Z</dcterms:created>
  <dcterms:modified xsi:type="dcterms:W3CDTF">2022-02-27T13:12:00Z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2022-02-22T06:31:38Z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cdcbd0c2-4ec3-4ea4-ad48-ebd0d401013c</vt:lpwstr>
  </property>
  <property fmtid="{D5CDD505-2E9C-101B-9397-08002B2CF9AE}" pid="8" name="MSIP_Label_549ac42a-3eb4-4074-b885-aea26bd6241e_ContentBits">
    <vt:lpwstr>0</vt:lpwstr>
  </property>
</Properties>
</file>